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51" w:rsidRPr="007304D5" w:rsidRDefault="00383751" w:rsidP="003D1C1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215868" w:themeColor="accent5" w:themeShade="80"/>
          <w:sz w:val="28"/>
          <w:szCs w:val="28"/>
          <w:lang w:val="uk-UA" w:eastAsia="ja-JP"/>
        </w:rPr>
      </w:pPr>
      <w:r w:rsidRPr="007304D5">
        <w:rPr>
          <w:rFonts w:ascii="Times New Roman" w:eastAsia="MS Mincho" w:hAnsi="Times New Roman" w:cs="Times New Roman"/>
          <w:b/>
          <w:color w:val="215868" w:themeColor="accent5" w:themeShade="80"/>
          <w:sz w:val="28"/>
          <w:szCs w:val="28"/>
          <w:lang w:val="uk-UA" w:eastAsia="ja-JP"/>
        </w:rPr>
        <w:t>Німецька мова мандрує Україною!</w:t>
      </w:r>
    </w:p>
    <w:p w:rsidR="00383751" w:rsidRDefault="00383751" w:rsidP="003D1C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</w:pPr>
    </w:p>
    <w:p w:rsidR="00383751" w:rsidRDefault="00383751" w:rsidP="003D1C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</w:pPr>
      <w:bookmarkStart w:id="0" w:name="_GoBack"/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Детальніше…</w:t>
      </w:r>
    </w:p>
    <w:bookmarkEnd w:id="0"/>
    <w:p w:rsidR="00383751" w:rsidRDefault="00383751" w:rsidP="003D1C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</w:pPr>
    </w:p>
    <w:p w:rsidR="003D1C19" w:rsidRDefault="00374BC5" w:rsidP="0038375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A8D4F5" wp14:editId="7AFE83D5">
            <wp:simplePos x="0" y="0"/>
            <wp:positionH relativeFrom="column">
              <wp:posOffset>3196590</wp:posOffset>
            </wp:positionH>
            <wp:positionV relativeFrom="paragraph">
              <wp:posOffset>323850</wp:posOffset>
            </wp:positionV>
            <wp:extent cx="2867025" cy="2118995"/>
            <wp:effectExtent l="0" t="0" r="9525" b="0"/>
            <wp:wrapThrough wrapText="bothSides">
              <wp:wrapPolygon edited="0">
                <wp:start x="0" y="0"/>
                <wp:lineTo x="0" y="21361"/>
                <wp:lineTo x="21528" y="21361"/>
                <wp:lineTo x="21528" y="0"/>
                <wp:lineTo x="0" y="0"/>
              </wp:wrapPolygon>
            </wp:wrapThrough>
            <wp:docPr id="3" name="Рисунок 3" descr="C:\Users\вера\Desktop\5f54cc84ad4db4706713aeaa92e6d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esktop\5f54cc84ad4db4706713aeaa92e6d2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C1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20.03.2018 та </w:t>
      </w:r>
      <w:r w:rsidR="003D1C19" w:rsidRPr="003D1C1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21.03.2018 </w:t>
      </w:r>
      <w:r w:rsidR="003D1C1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у</w:t>
      </w:r>
      <w:r w:rsidR="003D1C19" w:rsidRPr="003D1C1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рамках відзначення Року німецької мови в Україні</w:t>
      </w:r>
      <w:r w:rsidR="003D1C1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3D1C19" w:rsidRPr="003D1C1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відбу</w:t>
      </w:r>
      <w:r w:rsidR="0038375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</w:t>
      </w:r>
      <w:r w:rsidR="003D1C19" w:rsidRPr="003D1C1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ся </w:t>
      </w:r>
      <w:r w:rsidR="003D1C1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культурно-освітній захід </w:t>
      </w:r>
      <w:r w:rsidR="006F6337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для викладачів </w:t>
      </w:r>
      <w:r w:rsidR="00D526E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та студентів</w:t>
      </w:r>
      <w:r w:rsidR="006F6337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3D1C19" w:rsidRPr="003D1C1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«Мандрівні дні німецької мови»</w:t>
      </w:r>
      <w:r w:rsidR="006F6337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3D1C19" w:rsidRPr="003D1C1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</w:t>
      </w:r>
      <w:r w:rsidR="006F6337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а</w:t>
      </w:r>
      <w:r w:rsidR="003D1C19" w:rsidRPr="003D1C1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6F6337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</w:t>
      </w:r>
      <w:r w:rsidR="003D1C19" w:rsidRPr="003D1C1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рограмою </w:t>
      </w:r>
      <w:r w:rsidR="006F6337" w:rsidRPr="006F6337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Німецької служби академічних обмінів </w:t>
      </w:r>
      <w:r w:rsidR="003D1C19" w:rsidRPr="003D1C1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DAAD</w:t>
      </w:r>
      <w:r w:rsidR="00D526E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,</w:t>
      </w:r>
      <w:r w:rsidR="006F6337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D526E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за підтримки </w:t>
      </w:r>
      <w:proofErr w:type="spellStart"/>
      <w:r w:rsidR="00D526E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Гете-інституту</w:t>
      </w:r>
      <w:proofErr w:type="spellEnd"/>
      <w:r w:rsidR="00D526E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в Україні.</w:t>
      </w:r>
    </w:p>
    <w:p w:rsidR="003173EA" w:rsidRDefault="003173EA" w:rsidP="0038375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3173E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Німецька служба академічних обмінів (DAAD) забезпечує мобільність студентів і викладачів, надає можливість талановитій молод</w:t>
      </w:r>
      <w:r w:rsidR="00374BC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і, </w:t>
      </w:r>
      <w:r w:rsidRPr="003173E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374BC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вчителям </w:t>
      </w:r>
      <w:r w:rsidRPr="003173E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пройти наукове стажування або підвищити кваліфікацію в Німеччині. </w:t>
      </w:r>
    </w:p>
    <w:p w:rsidR="00782E94" w:rsidRDefault="00B52C9A" w:rsidP="00383751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3887D5" wp14:editId="6EBFBF22">
            <wp:simplePos x="0" y="0"/>
            <wp:positionH relativeFrom="column">
              <wp:posOffset>-3810</wp:posOffset>
            </wp:positionH>
            <wp:positionV relativeFrom="paragraph">
              <wp:posOffset>1221740</wp:posOffset>
            </wp:positionV>
            <wp:extent cx="2524125" cy="1682750"/>
            <wp:effectExtent l="0" t="0" r="9525" b="0"/>
            <wp:wrapThrough wrapText="bothSides">
              <wp:wrapPolygon edited="0">
                <wp:start x="0" y="0"/>
                <wp:lineTo x="0" y="21274"/>
                <wp:lineTo x="21518" y="21274"/>
                <wp:lineTo x="21518" y="0"/>
                <wp:lineTo x="0" y="0"/>
              </wp:wrapPolygon>
            </wp:wrapThrough>
            <wp:docPr id="2" name="Рисунок 2" descr="C:\Users\вера\Desktop\b39607f52b7be089ef9b4392efb86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b39607f52b7be089ef9b4392efb86c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C19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ab/>
      </w:r>
      <w:r w:rsidR="006F6337" w:rsidRPr="006F6337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20</w:t>
      </w:r>
      <w:r w:rsidR="0038375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березня у </w:t>
      </w:r>
      <w:r w:rsidR="003D1C19" w:rsidRPr="003D1C19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Придніпровськ</w:t>
      </w:r>
      <w:r w:rsidR="00383751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ій</w:t>
      </w:r>
      <w:r w:rsidR="003D1C19" w:rsidRPr="003D1C19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державн</w:t>
      </w:r>
      <w:r w:rsidR="00383751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ій</w:t>
      </w:r>
      <w:r w:rsidR="003D1C19" w:rsidRPr="003D1C19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академі</w:t>
      </w:r>
      <w:r w:rsidR="00383751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ї</w:t>
      </w:r>
      <w:r w:rsidR="003D1C19" w:rsidRPr="003D1C19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будівництва та архітектури </w:t>
      </w:r>
      <w:r w:rsidR="00383751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та </w:t>
      </w:r>
      <w:r w:rsidR="006F6337" w:rsidRPr="006F6337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21</w:t>
      </w:r>
      <w:r w:rsidR="00383751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березня у </w:t>
      </w:r>
      <w:r w:rsidR="00D2743C" w:rsidRPr="00D2743C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Н</w:t>
      </w:r>
      <w:r w:rsidR="00D2743C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аціональн</w:t>
      </w:r>
      <w:r w:rsidR="00383751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ому</w:t>
      </w:r>
      <w:r w:rsidR="00D2743C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технічн</w:t>
      </w:r>
      <w:r w:rsidR="00383751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ому</w:t>
      </w:r>
      <w:r w:rsidR="00D2743C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університет</w:t>
      </w:r>
      <w:r w:rsidR="00383751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і</w:t>
      </w:r>
      <w:r w:rsidR="00D2743C" w:rsidRPr="00D2743C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«Дніпровська політехніка» </w:t>
      </w:r>
      <w:r w:rsidR="00383751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вчителі німецької мови та студенти </w:t>
      </w:r>
      <w:r w:rsid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мали можливість поспілкуватися з лекторами </w:t>
      </w:r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DAAD</w:t>
      </w:r>
      <w:r w:rsid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. </w:t>
      </w:r>
      <w:r w:rsidR="003173EA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</w:t>
      </w:r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Програма заходу «Мандрівні дні німецької мови», блискуче проведеного лекторами пані Вірою </w:t>
      </w:r>
      <w:proofErr w:type="spellStart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Терстееген</w:t>
      </w:r>
      <w:proofErr w:type="spellEnd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(</w:t>
      </w:r>
      <w:proofErr w:type="spellStart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Vera</w:t>
      </w:r>
      <w:proofErr w:type="spellEnd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</w:t>
      </w:r>
      <w:proofErr w:type="spellStart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Tersteegen</w:t>
      </w:r>
      <w:proofErr w:type="spellEnd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), паном </w:t>
      </w:r>
      <w:proofErr w:type="spellStart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Седриком</w:t>
      </w:r>
      <w:proofErr w:type="spellEnd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</w:t>
      </w:r>
      <w:proofErr w:type="spellStart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Райхелем</w:t>
      </w:r>
      <w:proofErr w:type="spellEnd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(</w:t>
      </w:r>
      <w:proofErr w:type="spellStart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Cédric</w:t>
      </w:r>
      <w:proofErr w:type="spellEnd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</w:t>
      </w:r>
      <w:proofErr w:type="spellStart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Reichel</w:t>
      </w:r>
      <w:proofErr w:type="spellEnd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) та паном Олафом </w:t>
      </w:r>
      <w:proofErr w:type="spellStart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Міттельштрассом</w:t>
      </w:r>
      <w:proofErr w:type="spellEnd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(</w:t>
      </w:r>
      <w:proofErr w:type="spellStart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Olaf</w:t>
      </w:r>
      <w:proofErr w:type="spellEnd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</w:t>
      </w:r>
      <w:proofErr w:type="spellStart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Mittelstrauß</w:t>
      </w:r>
      <w:proofErr w:type="spellEnd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), включала інтерактивне відкриття на тему «Чи вчать німецьку мову за допомогою пісень?», презентації «Робота DAAD» та «</w:t>
      </w:r>
      <w:proofErr w:type="spellStart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OnDaF</w:t>
      </w:r>
      <w:proofErr w:type="spellEnd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- </w:t>
      </w:r>
      <w:proofErr w:type="spellStart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TestDaF</w:t>
      </w:r>
      <w:proofErr w:type="spellEnd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- </w:t>
      </w:r>
      <w:proofErr w:type="spellStart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TestAS</w:t>
      </w:r>
      <w:proofErr w:type="spellEnd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», </w:t>
      </w:r>
      <w:r w:rsidR="003173EA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проведення </w:t>
      </w:r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</w:t>
      </w:r>
      <w:proofErr w:type="spellStart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воркшоп</w:t>
      </w:r>
      <w:r w:rsidR="003173EA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ів</w:t>
      </w:r>
      <w:proofErr w:type="spellEnd"/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</w:t>
      </w:r>
      <w:r w:rsidR="003173EA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та</w:t>
      </w:r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 xml:space="preserve"> вікторин</w:t>
      </w:r>
      <w:r w:rsidR="003173EA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и</w:t>
      </w:r>
      <w:r w:rsidR="00782E94" w:rsidRPr="00782E94">
        <w:rPr>
          <w:rFonts w:ascii="Times New Roman" w:eastAsia="MS Mincho" w:hAnsi="Times New Roman" w:cs="Times New Roman"/>
          <w:bCs/>
          <w:color w:val="000000"/>
          <w:kern w:val="36"/>
          <w:sz w:val="28"/>
          <w:szCs w:val="28"/>
          <w:lang w:val="uk-UA" w:eastAsia="ja-JP"/>
        </w:rPr>
        <w:t>.</w:t>
      </w:r>
    </w:p>
    <w:p w:rsidR="00374BC5" w:rsidRPr="00374BC5" w:rsidRDefault="00374BC5" w:rsidP="00317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B0522EF" wp14:editId="0F1A2316">
            <wp:simplePos x="0" y="0"/>
            <wp:positionH relativeFrom="column">
              <wp:posOffset>1249045</wp:posOffset>
            </wp:positionH>
            <wp:positionV relativeFrom="paragraph">
              <wp:posOffset>523875</wp:posOffset>
            </wp:positionV>
            <wp:extent cx="2187575" cy="1969770"/>
            <wp:effectExtent l="0" t="0" r="3175" b="0"/>
            <wp:wrapThrough wrapText="bothSides">
              <wp:wrapPolygon edited="0">
                <wp:start x="0" y="0"/>
                <wp:lineTo x="0" y="21308"/>
                <wp:lineTo x="21443" y="21308"/>
                <wp:lineTo x="21443" y="0"/>
                <wp:lineTo x="0" y="0"/>
              </wp:wrapPolygon>
            </wp:wrapThrough>
            <wp:docPr id="4" name="Рисунок 4" descr="C:\Users\вера\Desktop\4924ec0eab6deabd6a25e81dae8f1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4924ec0eab6deabd6a25e81dae8f1a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751" w:rsidRPr="00374BC5">
        <w:rPr>
          <w:rFonts w:ascii="Times New Roman" w:hAnsi="Times New Roman" w:cs="Times New Roman"/>
          <w:sz w:val="28"/>
          <w:szCs w:val="28"/>
          <w:lang w:val="uk-UA"/>
        </w:rPr>
        <w:t xml:space="preserve"> Учасники дізналися</w:t>
      </w:r>
      <w:r w:rsidR="003173EA" w:rsidRPr="00374BC5">
        <w:rPr>
          <w:rFonts w:ascii="Times New Roman" w:hAnsi="Times New Roman" w:cs="Times New Roman"/>
          <w:sz w:val="28"/>
          <w:szCs w:val="28"/>
          <w:lang w:val="uk-UA"/>
        </w:rPr>
        <w:t xml:space="preserve"> про можливості академічного обміну та стипендіальні програми в Німеччині,</w:t>
      </w:r>
      <w:r w:rsidR="00383751" w:rsidRPr="00374BC5">
        <w:rPr>
          <w:rFonts w:ascii="Times New Roman" w:hAnsi="Times New Roman" w:cs="Times New Roman"/>
          <w:sz w:val="28"/>
          <w:szCs w:val="28"/>
          <w:lang w:val="uk-UA"/>
        </w:rPr>
        <w:t xml:space="preserve"> про умови надання фінансової підтримки службою DAAD, про процедуру та терміни подачі заявки на участь у програмі, а також про особливості та  графік проведення мовних тестів </w:t>
      </w:r>
      <w:proofErr w:type="spellStart"/>
      <w:r w:rsidR="00383751" w:rsidRPr="00374BC5">
        <w:rPr>
          <w:rFonts w:ascii="Times New Roman" w:hAnsi="Times New Roman" w:cs="Times New Roman"/>
          <w:sz w:val="28"/>
          <w:szCs w:val="28"/>
          <w:lang w:val="uk-UA"/>
        </w:rPr>
        <w:t>OnDaF</w:t>
      </w:r>
      <w:proofErr w:type="spellEnd"/>
      <w:r w:rsidR="00383751" w:rsidRPr="00374B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83751" w:rsidRPr="00374BC5">
        <w:rPr>
          <w:rFonts w:ascii="Times New Roman" w:hAnsi="Times New Roman" w:cs="Times New Roman"/>
          <w:sz w:val="28"/>
          <w:szCs w:val="28"/>
          <w:lang w:val="uk-UA"/>
        </w:rPr>
        <w:t>TestDAF</w:t>
      </w:r>
      <w:proofErr w:type="spellEnd"/>
      <w:r w:rsidR="00383751" w:rsidRPr="00374B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83751" w:rsidRPr="00374BC5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="00383751" w:rsidRPr="00374BC5">
        <w:rPr>
          <w:rFonts w:ascii="Times New Roman" w:hAnsi="Times New Roman" w:cs="Times New Roman"/>
          <w:sz w:val="28"/>
          <w:szCs w:val="28"/>
          <w:lang w:val="uk-UA"/>
        </w:rPr>
        <w:t xml:space="preserve"> AS. </w:t>
      </w:r>
    </w:p>
    <w:p w:rsidR="004B104E" w:rsidRPr="00374BC5" w:rsidRDefault="00374BC5" w:rsidP="00317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BC5">
        <w:rPr>
          <w:rFonts w:ascii="Times New Roman" w:hAnsi="Times New Roman" w:cs="Times New Roman"/>
          <w:sz w:val="28"/>
          <w:szCs w:val="28"/>
          <w:lang w:val="uk-UA"/>
        </w:rPr>
        <w:t>Учасники заходу отримали інформацію, що стане запорукою розвитку програми академічної мобільності та сприятиме розширенню можливості співпраці з німецькою службою академічного обміну (DAAD).</w:t>
      </w:r>
    </w:p>
    <w:sectPr w:rsidR="004B104E" w:rsidRPr="0037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19"/>
    <w:rsid w:val="003173EA"/>
    <w:rsid w:val="00374BC5"/>
    <w:rsid w:val="00383751"/>
    <w:rsid w:val="003C7057"/>
    <w:rsid w:val="003D1C19"/>
    <w:rsid w:val="004B104E"/>
    <w:rsid w:val="006F6337"/>
    <w:rsid w:val="007304D5"/>
    <w:rsid w:val="00782E94"/>
    <w:rsid w:val="00890BBA"/>
    <w:rsid w:val="00B52C9A"/>
    <w:rsid w:val="00CC2175"/>
    <w:rsid w:val="00CF3D51"/>
    <w:rsid w:val="00D2743C"/>
    <w:rsid w:val="00D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2018-04-02T12:37:00Z</cp:lastPrinted>
  <dcterms:created xsi:type="dcterms:W3CDTF">2018-03-18T17:37:00Z</dcterms:created>
  <dcterms:modified xsi:type="dcterms:W3CDTF">2018-04-02T13:00:00Z</dcterms:modified>
</cp:coreProperties>
</file>